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3E09D" w14:textId="77777777" w:rsidR="007E08C2" w:rsidRDefault="007E08C2" w:rsidP="007E08C2">
      <w:pPr>
        <w:spacing w:after="0"/>
      </w:pPr>
    </w:p>
    <w:p w14:paraId="7AE8EE2A" w14:textId="77777777" w:rsidR="007E08C2" w:rsidRDefault="007E08C2" w:rsidP="007E08C2">
      <w:pPr>
        <w:spacing w:after="0"/>
      </w:pPr>
    </w:p>
    <w:p w14:paraId="6F7CE926" w14:textId="77777777" w:rsidR="00B16483" w:rsidRDefault="007E08C2" w:rsidP="007E08C2">
      <w:pPr>
        <w:spacing w:after="0"/>
      </w:pPr>
      <w:r w:rsidRPr="00827F37">
        <w:rPr>
          <w:b/>
          <w:bCs/>
        </w:rPr>
        <w:t>Aaron Anderson</w:t>
      </w:r>
      <w:r>
        <w:rPr>
          <w:b/>
          <w:bCs/>
        </w:rPr>
        <w:t>:</w:t>
      </w:r>
      <w:r w:rsidRPr="00BB316E">
        <w:rPr>
          <w:b/>
          <w:bCs/>
        </w:rPr>
        <w:t xml:space="preserve"> </w:t>
      </w:r>
      <w:r w:rsidRPr="00D14566">
        <w:t>Generalizing Rademacher Complexity</w:t>
      </w:r>
    </w:p>
    <w:p w14:paraId="4ACCB735" w14:textId="200EB686" w:rsidR="007E08C2" w:rsidRDefault="007E08C2" w:rsidP="007E08C2">
      <w:pPr>
        <w:spacing w:after="0"/>
        <w:rPr>
          <w:b/>
          <w:bCs/>
        </w:rPr>
      </w:pPr>
      <w:r w:rsidRPr="00827F37">
        <w:rPr>
          <w:b/>
          <w:bCs/>
        </w:rPr>
        <w:br/>
        <w:t>Sam Braunfeld</w:t>
      </w:r>
      <w:r>
        <w:rPr>
          <w:b/>
          <w:bCs/>
        </w:rPr>
        <w:t xml:space="preserve">: </w:t>
      </w:r>
      <w:proofErr w:type="spellStart"/>
      <w:r w:rsidRPr="000A1E7F">
        <w:t>Coloring</w:t>
      </w:r>
      <w:proofErr w:type="spellEnd"/>
      <w:r w:rsidRPr="000A1E7F">
        <w:t xml:space="preserve"> in graphs definable in a pure set</w:t>
      </w:r>
      <w:r>
        <w:rPr>
          <w:b/>
          <w:bCs/>
        </w:rPr>
        <w:t xml:space="preserve"> </w:t>
      </w:r>
    </w:p>
    <w:p w14:paraId="02A30079" w14:textId="77777777" w:rsidR="00B16483" w:rsidRDefault="00B16483" w:rsidP="007E08C2">
      <w:pPr>
        <w:spacing w:after="0"/>
        <w:rPr>
          <w:b/>
          <w:bCs/>
        </w:rPr>
      </w:pPr>
    </w:p>
    <w:p w14:paraId="73B2E06F" w14:textId="095219A9" w:rsidR="00B16483" w:rsidRDefault="00B16483" w:rsidP="007E08C2">
      <w:pPr>
        <w:spacing w:after="0"/>
      </w:pPr>
      <w:r w:rsidRPr="00B16483">
        <w:t>We study chromatic number in classes of finite graphs contained in an infinite graph definable in a pure set. In particular, we will see that shift graphs and cliques are in some sense the only obstructions to bounded chromatic number. Tropical linear programming will make a surprise appearance.</w:t>
      </w:r>
      <w:r>
        <w:t xml:space="preserve"> </w:t>
      </w:r>
      <w:r w:rsidRPr="00B16483">
        <w:t>Joint work with Sarosh Adenwalla, Tomáš Hons, John Sylvester, and Viktor Zamaraev.</w:t>
      </w:r>
    </w:p>
    <w:p w14:paraId="0BA1F878" w14:textId="77777777" w:rsidR="00B16483" w:rsidRPr="00B16483" w:rsidRDefault="00B16483" w:rsidP="007E08C2">
      <w:pPr>
        <w:spacing w:after="0"/>
      </w:pPr>
    </w:p>
    <w:p w14:paraId="6BB9AB24" w14:textId="4704E067" w:rsidR="007E08C2" w:rsidRDefault="007E08C2" w:rsidP="007E08C2">
      <w:pPr>
        <w:spacing w:after="0"/>
      </w:pPr>
      <w:r w:rsidRPr="00827F37">
        <w:rPr>
          <w:b/>
          <w:bCs/>
        </w:rPr>
        <w:t>Sebastian Eterovic</w:t>
      </w:r>
      <w:r>
        <w:rPr>
          <w:b/>
          <w:bCs/>
        </w:rPr>
        <w:t xml:space="preserve">: </w:t>
      </w:r>
      <w:r w:rsidRPr="00827F37">
        <w:rPr>
          <w:b/>
          <w:bCs/>
        </w:rPr>
        <w:t xml:space="preserve"> </w:t>
      </w:r>
      <w:r w:rsidRPr="00962245">
        <w:t>Revisiting Shapiro's conjecture for exponential polynomials</w:t>
      </w:r>
    </w:p>
    <w:p w14:paraId="4CE78794" w14:textId="34D4EC15" w:rsidR="007E08C2" w:rsidRDefault="007E08C2" w:rsidP="007E08C2">
      <w:pPr>
        <w:spacing w:after="0"/>
      </w:pPr>
      <w:r w:rsidRPr="00827F37">
        <w:rPr>
          <w:b/>
          <w:bCs/>
        </w:rPr>
        <w:br/>
        <w:t>Francesco Gallinaro</w:t>
      </w:r>
      <w:r>
        <w:rPr>
          <w:b/>
          <w:bCs/>
        </w:rPr>
        <w:t xml:space="preserve">: </w:t>
      </w:r>
      <w:r w:rsidRPr="00D14566">
        <w:t>On the elementary theory of the real exponential field</w:t>
      </w:r>
    </w:p>
    <w:p w14:paraId="5E4C9641" w14:textId="77777777" w:rsidR="00B16483" w:rsidRDefault="00B16483" w:rsidP="007E08C2">
      <w:pPr>
        <w:spacing w:after="0"/>
      </w:pPr>
    </w:p>
    <w:p w14:paraId="4FB045DE" w14:textId="62D3F254" w:rsidR="00B16483" w:rsidRDefault="00B16483" w:rsidP="007E08C2">
      <w:pPr>
        <w:spacing w:after="0"/>
      </w:pPr>
      <w:r w:rsidRPr="00B16483">
        <w:t>Assuming Schanuel's conjecture from transcendental number theory, we prove that the complete first-order theory of the real exponential field is axiomatized by the axioms of definably complete exponential fields satisfying the differential equation exp'=exp. We deduce our main theorem from an unconditional model completeness result for definably complete expansions of fields by an exponential function restricted to the open interval (-1,1). This is joint work with A. Berarducci.</w:t>
      </w:r>
    </w:p>
    <w:p w14:paraId="5E3DBABE" w14:textId="77777777" w:rsidR="00B16483" w:rsidRPr="00D14566" w:rsidRDefault="00B16483" w:rsidP="007E08C2">
      <w:pPr>
        <w:spacing w:after="0"/>
      </w:pPr>
    </w:p>
    <w:p w14:paraId="23EFACF7" w14:textId="77777777" w:rsidR="00B16483" w:rsidRDefault="007E08C2" w:rsidP="007E08C2">
      <w:pPr>
        <w:spacing w:after="0"/>
      </w:pPr>
      <w:r>
        <w:rPr>
          <w:b/>
          <w:bCs/>
        </w:rPr>
        <w:t>Alberto Miguel Gomez</w:t>
      </w:r>
      <w:r>
        <w:t xml:space="preserve">: </w:t>
      </w:r>
      <w:r w:rsidRPr="00A34946">
        <w:t>Generalising Kim’s lemma to abstract independence relations</w:t>
      </w:r>
    </w:p>
    <w:p w14:paraId="5DAC1817" w14:textId="77777777" w:rsidR="00B16483" w:rsidRDefault="00B16483" w:rsidP="007E08C2">
      <w:pPr>
        <w:spacing w:after="0"/>
      </w:pPr>
    </w:p>
    <w:p w14:paraId="6FBF3C25" w14:textId="77777777" w:rsidR="00B16483" w:rsidRDefault="00B16483" w:rsidP="007E08C2">
      <w:pPr>
        <w:spacing w:after="0"/>
      </w:pPr>
      <w:r w:rsidRPr="00B16483">
        <w:t xml:space="preserve">Recent developments in </w:t>
      </w:r>
      <w:proofErr w:type="spellStart"/>
      <w:r w:rsidRPr="00B16483">
        <w:t>neostability</w:t>
      </w:r>
      <w:proofErr w:type="spellEnd"/>
      <w:r w:rsidRPr="00B16483">
        <w:t xml:space="preserve"> theory have witnessed a proliferation of versions of Kim's lemma used to characterise ever-wider classes of unstable first-order theories, including NTP_2, NSOP_1, NSOP_4, NBTP, and beyond. These results highlight some limitations of Adler's framework for the study of abstract independence relations and suggest that new tools are at play underneath this diversity. In this talk, I will extend Adler's framework to study Kim's lemma and its consequences in their full generality. After briefly reviewing the role of independence relations in developing the theory of several </w:t>
      </w:r>
      <w:proofErr w:type="spellStart"/>
      <w:r w:rsidRPr="00B16483">
        <w:t>neostability</w:t>
      </w:r>
      <w:proofErr w:type="spellEnd"/>
      <w:r w:rsidRPr="00B16483">
        <w:t>-theoretic properties, I will reinterpret Kim's lemma as a binary relation between independence relations under minimal assumptions. I will illustrate how this generalises several results from the literature, present new results that this framework proves, and mention previously known theorems which can be obtained in a semantic fashion using this technology.</w:t>
      </w:r>
    </w:p>
    <w:p w14:paraId="69490A36" w14:textId="6F2168D2" w:rsidR="007E08C2" w:rsidRPr="006B2273" w:rsidRDefault="007E08C2" w:rsidP="007E08C2">
      <w:pPr>
        <w:spacing w:after="0"/>
      </w:pPr>
      <w:r w:rsidRPr="00A34946">
        <w:br/>
      </w:r>
      <w:r w:rsidRPr="00827F37">
        <w:rPr>
          <w:b/>
          <w:bCs/>
        </w:rPr>
        <w:t>Stefan Ludwig</w:t>
      </w:r>
      <w:r>
        <w:rPr>
          <w:b/>
          <w:bCs/>
        </w:rPr>
        <w:t xml:space="preserve">: </w:t>
      </w:r>
      <w:r w:rsidRPr="006B2273">
        <w:t>Pseudofinite fields with additive and multiplicative character.</w:t>
      </w:r>
    </w:p>
    <w:p w14:paraId="3D643E6F" w14:textId="77777777" w:rsidR="007E08C2" w:rsidRDefault="007E08C2" w:rsidP="007E08C2">
      <w:pPr>
        <w:spacing w:after="0"/>
      </w:pPr>
    </w:p>
    <w:p w14:paraId="621FBF1F" w14:textId="77777777" w:rsidR="0045207B" w:rsidRDefault="0045207B" w:rsidP="0045207B">
      <w:pPr>
        <w:spacing w:after="0"/>
      </w:pPr>
      <w:r w:rsidRPr="00827F37">
        <w:rPr>
          <w:b/>
          <w:bCs/>
        </w:rPr>
        <w:t>Adele Padgett</w:t>
      </w:r>
      <w:r>
        <w:t xml:space="preserve">: </w:t>
      </w:r>
      <w:r w:rsidRPr="00753F86">
        <w:t>Bialgebraic Varieties for the Gamma function</w:t>
      </w:r>
    </w:p>
    <w:p w14:paraId="76F3E458" w14:textId="77777777" w:rsidR="0045207B" w:rsidRDefault="0045207B" w:rsidP="0045207B">
      <w:pPr>
        <w:spacing w:after="0"/>
      </w:pPr>
    </w:p>
    <w:p w14:paraId="058C0D3E" w14:textId="77777777" w:rsidR="0045207B" w:rsidRDefault="0045207B" w:rsidP="0045207B">
      <w:pPr>
        <w:spacing w:after="0"/>
      </w:pPr>
      <w:r w:rsidRPr="0045207B">
        <w:t>Functional transcendence theorems characterize the algebraic structure respected by certain transcendental holomorphic functions. Characterizations have been proved for the complex exponential function, the modular j function, and other solutions of algebraic differential equations. Some of these results have played key roles in solving Diophantine problems, including the proof of the Andre—Oort Conjecture. The established strategies used to prove functional transcendence theorems do not cleanly adapt to differentially transcendental functions. I will present new methods and prove a functional transcendence theorem for the Gamma function, which does not satisfy any algebraic differential equation. I will also explain how the result is geometrically different from other known functional transcendence theorems. This is joint work with Sebastian Eterović and Roy Zhao.</w:t>
      </w:r>
    </w:p>
    <w:p w14:paraId="491267AA" w14:textId="77777777" w:rsidR="0045207B" w:rsidRDefault="0045207B" w:rsidP="007E08C2">
      <w:pPr>
        <w:spacing w:after="0"/>
      </w:pPr>
    </w:p>
    <w:p w14:paraId="253D145F" w14:textId="7E5C7E3F" w:rsidR="007E08C2" w:rsidRDefault="007E08C2" w:rsidP="007E08C2">
      <w:pPr>
        <w:spacing w:after="0"/>
      </w:pPr>
      <w:r w:rsidRPr="007E08C2">
        <w:rPr>
          <w:b/>
          <w:bCs/>
        </w:rPr>
        <w:t>Giuseppina Terzo:</w:t>
      </w:r>
      <w:r w:rsidRPr="00A34946">
        <w:t xml:space="preserve"> On Generic Derivations and Endomorphisms </w:t>
      </w:r>
      <w:r>
        <w:t xml:space="preserve"> </w:t>
      </w:r>
    </w:p>
    <w:p w14:paraId="33434BE4" w14:textId="4A503216" w:rsidR="007E08C2" w:rsidRDefault="007E08C2" w:rsidP="007E08C2">
      <w:pPr>
        <w:spacing w:after="0"/>
        <w:rPr>
          <w:b/>
          <w:bCs/>
        </w:rPr>
      </w:pPr>
      <w:r w:rsidRPr="00A34946">
        <w:br/>
        <w:t xml:space="preserve">We study the existence of generic derivations in expansions of fields. </w:t>
      </w:r>
      <w:r w:rsidRPr="00A34946">
        <w:br/>
        <w:t xml:space="preserve">We present examples of field expansions that admit a generic derivation, </w:t>
      </w:r>
      <w:r w:rsidRPr="00A34946">
        <w:br/>
        <w:t xml:space="preserve">algebraically bounded fields, and </w:t>
      </w:r>
      <w:proofErr w:type="spellStart"/>
      <w:r w:rsidRPr="00A34946">
        <w:t>analyze</w:t>
      </w:r>
      <w:proofErr w:type="spellEnd"/>
      <w:r w:rsidRPr="00A34946">
        <w:t xml:space="preserve"> their model-theoretic </w:t>
      </w:r>
      <w:r w:rsidRPr="00A34946">
        <w:br/>
        <w:t xml:space="preserve">properties. We also investigate generic endomorphisms in linearly </w:t>
      </w:r>
      <w:r w:rsidRPr="00A34946">
        <w:br/>
        <w:t xml:space="preserve">bounded structures. In contrast, we show that exponential fields do not </w:t>
      </w:r>
      <w:r w:rsidRPr="00A34946">
        <w:br/>
        <w:t xml:space="preserve">admit a generic derivation in the absence of compatibility conditions </w:t>
      </w:r>
      <w:r w:rsidRPr="00A34946">
        <w:br/>
        <w:t>between the derivation and the exponential map.</w:t>
      </w:r>
      <w:r w:rsidRPr="00A34946">
        <w:rPr>
          <w:b/>
          <w:bCs/>
        </w:rPr>
        <w:t xml:space="preserve"> </w:t>
      </w:r>
    </w:p>
    <w:p w14:paraId="332D226D" w14:textId="77777777" w:rsidR="007E08C2" w:rsidRPr="000A1E7F" w:rsidRDefault="007E08C2" w:rsidP="007E08C2">
      <w:pPr>
        <w:spacing w:after="0"/>
      </w:pPr>
    </w:p>
    <w:p w14:paraId="2E57423C" w14:textId="77777777" w:rsidR="00B16483" w:rsidRDefault="007E08C2" w:rsidP="007E08C2">
      <w:pPr>
        <w:spacing w:after="0"/>
      </w:pPr>
      <w:r w:rsidRPr="00827F37">
        <w:rPr>
          <w:b/>
          <w:bCs/>
        </w:rPr>
        <w:t>Mervyn Tong</w:t>
      </w:r>
      <w:r>
        <w:rPr>
          <w:b/>
          <w:bCs/>
        </w:rPr>
        <w:t>:</w:t>
      </w:r>
      <w:r w:rsidRPr="00A53132">
        <w:rPr>
          <w:rFonts w:ascii="Segoe UI Historic" w:hAnsi="Segoe UI Historic" w:cs="Segoe UI Historic"/>
          <w:color w:val="080809"/>
          <w:sz w:val="23"/>
          <w:szCs w:val="23"/>
          <w:shd w:val="clear" w:color="auto" w:fill="F0F0F0"/>
        </w:rPr>
        <w:t xml:space="preserve"> </w:t>
      </w:r>
      <w:r w:rsidRPr="00A53132">
        <w:t>k-distality, k-triviality, and k-arity</w:t>
      </w:r>
    </w:p>
    <w:p w14:paraId="0C45E45A" w14:textId="77777777" w:rsidR="00435B11" w:rsidRDefault="00435B11" w:rsidP="007E08C2">
      <w:pPr>
        <w:spacing w:after="0"/>
      </w:pPr>
    </w:p>
    <w:p w14:paraId="3254B658" w14:textId="223273DE" w:rsidR="00435B11" w:rsidRDefault="00435B11" w:rsidP="007E08C2">
      <w:pPr>
        <w:spacing w:after="0"/>
      </w:pPr>
      <w:r w:rsidRPr="00435B11">
        <w:t>We discuss results in and connections between the notions of (strong) k-distality (which functions as a (k+1)-</w:t>
      </w:r>
      <w:proofErr w:type="spellStart"/>
      <w:r w:rsidRPr="00435B11">
        <w:t>ary</w:t>
      </w:r>
      <w:proofErr w:type="spellEnd"/>
      <w:r w:rsidRPr="00435B11">
        <w:t xml:space="preserve"> dividing line), k-(total) triviality (which captures geometric simplicity in the sense of forking), and k-arity (which bounds the complexity of the language). In particular, k-</w:t>
      </w:r>
      <w:proofErr w:type="spellStart"/>
      <w:r w:rsidRPr="00435B11">
        <w:t>ary</w:t>
      </w:r>
      <w:proofErr w:type="spellEnd"/>
      <w:r w:rsidRPr="00435B11">
        <w:t xml:space="preserve"> theories are (strongly) k-distal, and all known examples of (strongly) k-distal theories are k-</w:t>
      </w:r>
      <w:proofErr w:type="spellStart"/>
      <w:r w:rsidRPr="00435B11">
        <w:t>ary</w:t>
      </w:r>
      <w:proofErr w:type="spellEnd"/>
      <w:r w:rsidRPr="00435B11">
        <w:t>, which do not illuminate (strong) k-distality as a (k+1)-</w:t>
      </w:r>
      <w:proofErr w:type="spellStart"/>
      <w:r w:rsidRPr="00435B11">
        <w:t>ary</w:t>
      </w:r>
      <w:proofErr w:type="spellEnd"/>
      <w:r w:rsidRPr="00435B11">
        <w:t xml:space="preserve"> dividing line; we give four classes of non-distal theories that are (strongly) k-distal but not k-</w:t>
      </w:r>
      <w:proofErr w:type="spellStart"/>
      <w:r w:rsidRPr="00435B11">
        <w:t>ary</w:t>
      </w:r>
      <w:proofErr w:type="spellEnd"/>
      <w:r w:rsidRPr="00435B11">
        <w:t xml:space="preserve">. These examples are generated using a surprising connection with k-(total) triviality; we therefore discuss results on k-(total) triviality and how these translate to facts about (strong) k-distality. In particular, answering a question of Goode, we have that k-triviality collapses to (1-)triviality among simple theories for k ≥ 1, and hence k-distality collapses to 2-distality among stable theories for k ≥ 2, partially answering a question of Walker. We also show that just as distality is not preserved under </w:t>
      </w:r>
      <w:proofErr w:type="spellStart"/>
      <w:r w:rsidRPr="00435B11">
        <w:t>reducts</w:t>
      </w:r>
      <w:proofErr w:type="spellEnd"/>
      <w:r w:rsidRPr="00435B11">
        <w:t>, neither is (strong) k-distality.</w:t>
      </w:r>
    </w:p>
    <w:p w14:paraId="658E6F5C" w14:textId="4FA9560E" w:rsidR="007E08C2" w:rsidRDefault="007E08C2" w:rsidP="007E08C2">
      <w:pPr>
        <w:spacing w:after="0"/>
        <w:rPr>
          <w:b/>
          <w:bCs/>
        </w:rPr>
      </w:pPr>
      <w:r w:rsidRPr="00827F37">
        <w:rPr>
          <w:b/>
          <w:bCs/>
        </w:rPr>
        <w:br/>
        <w:t>Erik Walsberg</w:t>
      </w:r>
      <w:r>
        <w:rPr>
          <w:b/>
          <w:bCs/>
        </w:rPr>
        <w:t xml:space="preserve">: </w:t>
      </w:r>
      <w:r w:rsidRPr="00D14566">
        <w:t>Trace definability and model-theoretic linearity</w:t>
      </w:r>
      <w:r w:rsidRPr="00F32D6E">
        <w:rPr>
          <w:b/>
          <w:bCs/>
        </w:rPr>
        <w:t>.</w:t>
      </w:r>
    </w:p>
    <w:p w14:paraId="223366F8" w14:textId="77777777" w:rsidR="003F6E10" w:rsidRPr="0045207B" w:rsidRDefault="003F6E10"/>
    <w:sectPr w:rsidR="003F6E10" w:rsidRPr="004520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8C2"/>
    <w:rsid w:val="003F6E10"/>
    <w:rsid w:val="00435B11"/>
    <w:rsid w:val="0045207B"/>
    <w:rsid w:val="007E08C2"/>
    <w:rsid w:val="00B16483"/>
    <w:rsid w:val="00C07086"/>
    <w:rsid w:val="00DF131A"/>
    <w:rsid w:val="00E3765E"/>
    <w:rsid w:val="00EA48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941CD"/>
  <w15:chartTrackingRefBased/>
  <w15:docId w15:val="{6689F9EA-366E-4356-8DC8-A4EB06C34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C2"/>
  </w:style>
  <w:style w:type="paragraph" w:styleId="Heading1">
    <w:name w:val="heading 1"/>
    <w:basedOn w:val="Normal"/>
    <w:next w:val="Normal"/>
    <w:link w:val="Heading1Char"/>
    <w:uiPriority w:val="9"/>
    <w:qFormat/>
    <w:rsid w:val="007E0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8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8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8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8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8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8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8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8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8C2"/>
    <w:rPr>
      <w:rFonts w:eastAsiaTheme="majorEastAsia" w:cstheme="majorBidi"/>
      <w:color w:val="272727" w:themeColor="text1" w:themeTint="D8"/>
    </w:rPr>
  </w:style>
  <w:style w:type="paragraph" w:styleId="Title">
    <w:name w:val="Title"/>
    <w:basedOn w:val="Normal"/>
    <w:next w:val="Normal"/>
    <w:link w:val="TitleChar"/>
    <w:uiPriority w:val="10"/>
    <w:qFormat/>
    <w:rsid w:val="007E0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8C2"/>
    <w:pPr>
      <w:spacing w:before="160"/>
      <w:jc w:val="center"/>
    </w:pPr>
    <w:rPr>
      <w:i/>
      <w:iCs/>
      <w:color w:val="404040" w:themeColor="text1" w:themeTint="BF"/>
    </w:rPr>
  </w:style>
  <w:style w:type="character" w:customStyle="1" w:styleId="QuoteChar">
    <w:name w:val="Quote Char"/>
    <w:basedOn w:val="DefaultParagraphFont"/>
    <w:link w:val="Quote"/>
    <w:uiPriority w:val="29"/>
    <w:rsid w:val="007E08C2"/>
    <w:rPr>
      <w:i/>
      <w:iCs/>
      <w:color w:val="404040" w:themeColor="text1" w:themeTint="BF"/>
    </w:rPr>
  </w:style>
  <w:style w:type="paragraph" w:styleId="ListParagraph">
    <w:name w:val="List Paragraph"/>
    <w:basedOn w:val="Normal"/>
    <w:uiPriority w:val="34"/>
    <w:qFormat/>
    <w:rsid w:val="007E08C2"/>
    <w:pPr>
      <w:ind w:left="720"/>
      <w:contextualSpacing/>
    </w:pPr>
  </w:style>
  <w:style w:type="character" w:styleId="IntenseEmphasis">
    <w:name w:val="Intense Emphasis"/>
    <w:basedOn w:val="DefaultParagraphFont"/>
    <w:uiPriority w:val="21"/>
    <w:qFormat/>
    <w:rsid w:val="007E08C2"/>
    <w:rPr>
      <w:i/>
      <w:iCs/>
      <w:color w:val="0F4761" w:themeColor="accent1" w:themeShade="BF"/>
    </w:rPr>
  </w:style>
  <w:style w:type="paragraph" w:styleId="IntenseQuote">
    <w:name w:val="Intense Quote"/>
    <w:basedOn w:val="Normal"/>
    <w:next w:val="Normal"/>
    <w:link w:val="IntenseQuoteChar"/>
    <w:uiPriority w:val="30"/>
    <w:qFormat/>
    <w:rsid w:val="007E0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8C2"/>
    <w:rPr>
      <w:i/>
      <w:iCs/>
      <w:color w:val="0F4761" w:themeColor="accent1" w:themeShade="BF"/>
    </w:rPr>
  </w:style>
  <w:style w:type="character" w:styleId="IntenseReference">
    <w:name w:val="Intense Reference"/>
    <w:basedOn w:val="DefaultParagraphFont"/>
    <w:uiPriority w:val="32"/>
    <w:qFormat/>
    <w:rsid w:val="007E08C2"/>
    <w:rPr>
      <w:b/>
      <w:bCs/>
      <w:smallCaps/>
      <w:color w:val="0F4761" w:themeColor="accent1" w:themeShade="BF"/>
      <w:spacing w:val="5"/>
    </w:rPr>
  </w:style>
  <w:style w:type="character" w:styleId="Hyperlink">
    <w:name w:val="Hyperlink"/>
    <w:basedOn w:val="DefaultParagraphFont"/>
    <w:uiPriority w:val="99"/>
    <w:unhideWhenUsed/>
    <w:rsid w:val="007E0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745</Words>
  <Characters>4251</Characters>
  <Application>Microsoft Office Word</Application>
  <DocSecurity>0</DocSecurity>
  <Lines>35</Lines>
  <Paragraphs>9</Paragraphs>
  <ScaleCrop>false</ScaleCrop>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Pantelis Eleftheriou</dc:creator>
  <cp:keywords/>
  <dc:description/>
  <cp:lastModifiedBy>Pantelis Eleftheriou</cp:lastModifiedBy>
  <cp:revision>6</cp:revision>
  <dcterms:created xsi:type="dcterms:W3CDTF">2026-06-12T11:59:00Z</dcterms:created>
  <dcterms:modified xsi:type="dcterms:W3CDTF">2026-06-15T12:03:00Z</dcterms:modified>
</cp:coreProperties>
</file>